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1B131">
      <w:pPr>
        <w:jc w:val="center"/>
        <w:rPr>
          <w:rFonts w:hint="default" w:ascii="Times New Roman" w:hAnsi="Times New Roman" w:eastAsia="方正小标宋简体" w:cs="Times New Roman"/>
          <w:b/>
          <w:color w:val="FF0000"/>
          <w:spacing w:val="30"/>
          <w:w w:val="80"/>
          <w:sz w:val="72"/>
          <w:szCs w:val="72"/>
          <w:shd w:val="clear" w:color="auto" w:fill="FFFFFF"/>
        </w:rPr>
      </w:pPr>
      <w:r>
        <w:rPr>
          <w:rFonts w:hint="default" w:ascii="Times New Roman" w:hAnsi="Times New Roman" w:eastAsia="方正小标宋简体" w:cs="Times New Roman"/>
          <w:b/>
          <w:color w:val="FF0000"/>
          <w:spacing w:val="30"/>
          <w:w w:val="80"/>
          <w:sz w:val="72"/>
          <w:szCs w:val="72"/>
          <w:shd w:val="clear" w:color="auto" w:fill="FFFFFF"/>
        </w:rPr>
        <w:t>中国共产党东营市委员会党校</w:t>
      </w:r>
    </w:p>
    <w:p w14:paraId="60138810">
      <w:pPr>
        <w:spacing w:line="600" w:lineRule="exact"/>
        <w:rPr>
          <w:rFonts w:hint="default" w:ascii="Times New Roman" w:hAnsi="Times New Roman" w:eastAsia="仿宋_GB2312" w:cs="Times New Roman"/>
          <w:sz w:val="32"/>
          <w:szCs w:val="32"/>
        </w:rPr>
      </w:pPr>
      <w:r>
        <w:rPr>
          <w:rFonts w:hint="default" w:ascii="Times New Roman" w:hAnsi="Times New Roman" w:eastAsia="方正仿宋简体" w:cs="Times New Roman"/>
          <w:sz w:val="32"/>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27305</wp:posOffset>
                </wp:positionV>
                <wp:extent cx="5492115" cy="0"/>
                <wp:effectExtent l="0" t="12700" r="13335" b="15875"/>
                <wp:wrapNone/>
                <wp:docPr id="2" name="直接连接符 2"/>
                <wp:cNvGraphicFramePr/>
                <a:graphic xmlns:a="http://schemas.openxmlformats.org/drawingml/2006/main">
                  <a:graphicData uri="http://schemas.microsoft.com/office/word/2010/wordprocessingShape">
                    <wps:wsp>
                      <wps:cNvCnPr/>
                      <wps:spPr>
                        <a:xfrm>
                          <a:off x="0" y="0"/>
                          <a:ext cx="5492115" cy="0"/>
                        </a:xfrm>
                        <a:prstGeom prst="line">
                          <a:avLst/>
                        </a:prstGeom>
                        <a:noFill/>
                        <a:ln w="25400" cap="flat" cmpd="sng" algn="ctr">
                          <a:solidFill>
                            <a:srgbClr val="FF0000"/>
                          </a:solidFill>
                          <a:prstDash val="solid"/>
                        </a:ln>
                        <a:effectLst/>
                      </wps:spPr>
                      <wps:bodyPr/>
                    </wps:wsp>
                  </a:graphicData>
                </a:graphic>
              </wp:anchor>
            </w:drawing>
          </mc:Choice>
          <mc:Fallback>
            <w:pict>
              <v:line id="_x0000_s1026" o:spid="_x0000_s1026" o:spt="20" style="position:absolute;left:0pt;margin-left:-6.6pt;margin-top:2.15pt;height:0pt;width:432.45pt;z-index:251659264;mso-width-relative:page;mso-height-relative:page;" filled="f" stroked="t" coordsize="21600,21600" o:gfxdata="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M+zxdUAAAAHAQAADwAA&#10;AAAAAAABACAAAAAiAAAAZHJzL2Rvd25yZXYueG1sUEsBAhQAFAAAAAgAh07iQJ1yP5jgAQAAqQMA&#10;AA4AAAAAAAAAAQAgAAAAJAEAAGRycy9lMm9Eb2MueG1sUEsFBgAAAAAGAAYAWQEAAHYFAAAAAA==&#10;">
                <v:fill on="f" focussize="0,0"/>
                <v:stroke weight="2pt" color="#FF0000" joinstyle="round"/>
                <v:imagedata o:title=""/>
                <o:lock v:ext="edit" aspectratio="f"/>
              </v:line>
            </w:pict>
          </mc:Fallback>
        </mc:AlternateContent>
      </w:r>
    </w:p>
    <w:p w14:paraId="69876712">
      <w:pPr>
        <w:spacing w:line="600" w:lineRule="exact"/>
        <w:jc w:val="center"/>
        <w:rPr>
          <w:rFonts w:ascii="方正小标宋简体" w:hAnsi="Times New Roman" w:eastAsia="方正小标宋简体" w:cs="Times New Roman"/>
          <w:b w:val="0"/>
          <w:bCs w:val="0"/>
          <w:sz w:val="44"/>
          <w:szCs w:val="44"/>
        </w:rPr>
      </w:pPr>
      <w:r>
        <w:rPr>
          <w:rFonts w:hint="eastAsia" w:ascii="方正小标宋简体" w:hAnsi="Times New Roman" w:eastAsia="方正小标宋简体" w:cs="Times New Roman"/>
          <w:b w:val="0"/>
          <w:bCs w:val="0"/>
          <w:sz w:val="44"/>
          <w:szCs w:val="44"/>
        </w:rPr>
        <w:t>市县党校一体化高质量发展任务清单</w:t>
      </w:r>
    </w:p>
    <w:p w14:paraId="50004802">
      <w:pPr>
        <w:spacing w:line="600" w:lineRule="exact"/>
        <w:jc w:val="center"/>
        <w:rPr>
          <w:rFonts w:hint="eastAsia" w:ascii="方正小标宋简体" w:hAnsi="Times New Roman" w:eastAsia="方正小标宋简体" w:cs="Times New Roman"/>
          <w:b w:val="0"/>
          <w:bCs w:val="0"/>
          <w:sz w:val="44"/>
          <w:szCs w:val="44"/>
        </w:rPr>
      </w:pPr>
      <w:r>
        <w:rPr>
          <w:rFonts w:hint="eastAsia" w:ascii="方正小标宋简体" w:hAnsi="Times New Roman" w:eastAsia="方正小标宋简体" w:cs="Times New Roman"/>
          <w:b w:val="0"/>
          <w:bCs w:val="0"/>
          <w:sz w:val="44"/>
          <w:szCs w:val="44"/>
        </w:rPr>
        <w:t>（第</w:t>
      </w:r>
      <w:r>
        <w:rPr>
          <w:rFonts w:hint="eastAsia" w:ascii="方正小标宋简体" w:hAnsi="Times New Roman" w:eastAsia="方正小标宋简体" w:cs="Times New Roman"/>
          <w:b w:val="0"/>
          <w:bCs w:val="0"/>
          <w:sz w:val="44"/>
          <w:szCs w:val="44"/>
          <w:lang w:val="en-US" w:eastAsia="zh-CN"/>
        </w:rPr>
        <w:t>三</w:t>
      </w:r>
      <w:r>
        <w:rPr>
          <w:rFonts w:hint="eastAsia" w:ascii="方正小标宋简体" w:hAnsi="Times New Roman" w:eastAsia="方正小标宋简体" w:cs="Times New Roman"/>
          <w:b w:val="0"/>
          <w:bCs w:val="0"/>
          <w:sz w:val="44"/>
          <w:szCs w:val="44"/>
        </w:rPr>
        <w:t>批）</w:t>
      </w:r>
    </w:p>
    <w:p w14:paraId="29AB730C">
      <w:pPr>
        <w:spacing w:line="600" w:lineRule="exact"/>
        <w:jc w:val="center"/>
        <w:rPr>
          <w:rFonts w:ascii="方正小标宋简体" w:hAnsi="Times New Roman" w:eastAsia="方正小标宋简体" w:cs="Times New Roman"/>
          <w:b/>
          <w:bCs/>
          <w:sz w:val="44"/>
          <w:szCs w:val="44"/>
        </w:rPr>
      </w:pPr>
    </w:p>
    <w:p w14:paraId="4CF77F06">
      <w:pPr>
        <w:spacing w:line="600" w:lineRule="exact"/>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w:t>
      </w:r>
      <w:r>
        <w:rPr>
          <w:rFonts w:hint="eastAsia" w:ascii="Times New Roman" w:hAnsi="Times New Roman" w:eastAsia="黑体" w:cs="Times New Roman"/>
          <w:sz w:val="32"/>
          <w:szCs w:val="32"/>
          <w:lang w:val="en-US" w:eastAsia="zh-CN"/>
        </w:rPr>
        <w:t>基本情况</w:t>
      </w:r>
    </w:p>
    <w:p w14:paraId="44390508">
      <w:pPr>
        <w:keepNext w:val="0"/>
        <w:keepLines w:val="0"/>
        <w:widowControl/>
        <w:suppressLineNumbers w:val="0"/>
        <w:ind w:firstLine="640" w:firstLineChars="200"/>
        <w:jc w:val="both"/>
        <w:rPr>
          <w:rFonts w:ascii="PingFangSC-light" w:hAnsi="PingFangSC-light" w:eastAsia="PingFangSC-light" w:cs="PingFangSC-light"/>
          <w:i w:val="0"/>
          <w:iCs w:val="0"/>
          <w:caps w:val="0"/>
          <w:color w:val="3E3E3E"/>
          <w:spacing w:val="15"/>
          <w:sz w:val="24"/>
          <w:szCs w:val="24"/>
          <w:shd w:val="clear" w:fill="FDFDFC"/>
        </w:rPr>
      </w:pPr>
      <w:r>
        <w:rPr>
          <w:rFonts w:hint="eastAsia" w:ascii="Times New Roman" w:hAnsi="Times New Roman" w:eastAsia="仿宋_GB2312" w:cs="Times New Roman"/>
          <w:kern w:val="2"/>
          <w:sz w:val="32"/>
          <w:szCs w:val="32"/>
          <w:lang w:val="en-US" w:eastAsia="zh-CN" w:bidi="ar-SA"/>
        </w:rPr>
        <w:t>新修订的</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中国共产党党校（行政学院）工作</w:t>
      </w:r>
      <w:r>
        <w:rPr>
          <w:rFonts w:hint="default" w:ascii="Times New Roman" w:hAnsi="Times New Roman" w:eastAsia="仿宋_GB2312" w:cs="Times New Roman"/>
          <w:kern w:val="2"/>
          <w:sz w:val="32"/>
          <w:szCs w:val="32"/>
          <w:lang w:val="en-US" w:eastAsia="zh-CN" w:bidi="ar-SA"/>
        </w:rPr>
        <w:t>条例》</w:t>
      </w:r>
      <w:r>
        <w:rPr>
          <w:rFonts w:hint="eastAsia" w:ascii="Times New Roman" w:hAnsi="Times New Roman" w:eastAsia="仿宋_GB2312" w:cs="Times New Roman"/>
          <w:kern w:val="2"/>
          <w:sz w:val="32"/>
          <w:szCs w:val="32"/>
          <w:lang w:val="en-US" w:eastAsia="zh-CN" w:bidi="ar-SA"/>
        </w:rPr>
        <w:t>明确把</w:t>
      </w:r>
      <w:r>
        <w:rPr>
          <w:rFonts w:hint="default" w:ascii="Times New Roman" w:hAnsi="Times New Roman" w:eastAsia="仿宋_GB2312" w:cs="Times New Roman"/>
          <w:kern w:val="2"/>
          <w:sz w:val="32"/>
          <w:szCs w:val="32"/>
          <w:lang w:val="en-US" w:eastAsia="zh-CN" w:bidi="ar-SA"/>
        </w:rPr>
        <w:t>“坚持系统观念”</w:t>
      </w:r>
      <w:r>
        <w:rPr>
          <w:rFonts w:hint="eastAsia" w:ascii="Times New Roman" w:hAnsi="Times New Roman" w:eastAsia="仿宋_GB2312" w:cs="Times New Roman"/>
          <w:kern w:val="2"/>
          <w:sz w:val="32"/>
          <w:szCs w:val="32"/>
          <w:lang w:val="en-US" w:eastAsia="zh-CN" w:bidi="ar-SA"/>
        </w:rPr>
        <w:t>作</w:t>
      </w:r>
      <w:r>
        <w:rPr>
          <w:rFonts w:hint="default" w:ascii="Times New Roman" w:hAnsi="Times New Roman" w:eastAsia="仿宋_GB2312" w:cs="Times New Roman"/>
          <w:kern w:val="2"/>
          <w:sz w:val="32"/>
          <w:szCs w:val="32"/>
          <w:lang w:val="en-US" w:eastAsia="zh-CN" w:bidi="ar-SA"/>
        </w:rPr>
        <w:t>为党校工作的重要原则，为增强党校工作整体性和协同性提供了制度遵循</w:t>
      </w:r>
      <w:r>
        <w:rPr>
          <w:rFonts w:hint="eastAsia" w:ascii="Times New Roman" w:hAnsi="Times New Roman" w:eastAsia="仿宋_GB2312" w:cs="Times New Roman"/>
          <w:kern w:val="2"/>
          <w:sz w:val="32"/>
          <w:szCs w:val="32"/>
          <w:lang w:val="en-US" w:eastAsia="zh-CN" w:bidi="ar-SA"/>
        </w:rPr>
        <w:t>。对标落实《条例》新任务新要求，必须牢固树立系统思维，注重统筹谋划、上下联动，以更加务实的举措推动党校系统整体发展。在认真总结前期任务清单建设成效的基础上，通过深入开展调研，反复征求有关方面意见，党校工作处结合实际，研究提出了市县党校一体化高质量发展任务清单（第三批），旨在整合系统内外资源，充分发挥整体优势，为“十五五”时期全市党校高质量发展开好局、起好步。</w:t>
      </w:r>
    </w:p>
    <w:p w14:paraId="2F3C19CB">
      <w:pPr>
        <w:pStyle w:val="11"/>
        <w:numPr>
          <w:ilvl w:val="0"/>
          <w:numId w:val="0"/>
        </w:numPr>
        <w:spacing w:line="600" w:lineRule="exact"/>
        <w:ind w:firstLine="629" w:firstLineChars="0"/>
        <w:rPr>
          <w:rFonts w:hint="default" w:ascii="Times New Roman" w:hAnsi="Times New Roman" w:eastAsia="黑体" w:cs="Times New Roman"/>
          <w:sz w:val="32"/>
          <w:szCs w:val="32"/>
        </w:rPr>
      </w:pPr>
      <w:r>
        <w:rPr>
          <w:rFonts w:hint="eastAsia" w:ascii="Times New Roman" w:hAnsi="Times New Roman" w:eastAsia="黑体" w:cs="Times New Roman"/>
          <w:kern w:val="2"/>
          <w:sz w:val="32"/>
          <w:szCs w:val="32"/>
          <w:lang w:val="en-US" w:eastAsia="zh-CN" w:bidi="ar-SA"/>
        </w:rPr>
        <w:t>二、</w:t>
      </w:r>
      <w:r>
        <w:rPr>
          <w:rFonts w:hint="default" w:ascii="Times New Roman" w:hAnsi="Times New Roman" w:eastAsia="黑体" w:cs="Times New Roman"/>
          <w:sz w:val="32"/>
          <w:szCs w:val="32"/>
        </w:rPr>
        <w:t>任务清单</w:t>
      </w:r>
    </w:p>
    <w:p w14:paraId="6C185275">
      <w:pPr>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40"/>
          <w:lang w:eastAsia="zh-CN"/>
        </w:rPr>
        <w:t>贯彻落实中组部、中央党校（国家行政学院）关于基本培训、基本课程的工作要求，指导县区党校完善课程体系建设，开全基本课程，在主体班次课程设置中突出党的理论教育和党性教育的主业主课地位</w:t>
      </w:r>
      <w:r>
        <w:rPr>
          <w:rFonts w:hint="eastAsia" w:ascii="仿宋_GB2312" w:hAnsi="仿宋_GB2312" w:eastAsia="仿宋_GB2312" w:cs="仿宋_GB2312"/>
          <w:sz w:val="32"/>
          <w:szCs w:val="40"/>
          <w:lang w:val="en-US" w:eastAsia="zh-CN"/>
        </w:rPr>
        <w:t>。</w:t>
      </w:r>
      <w:r>
        <w:rPr>
          <w:rFonts w:hint="eastAsia" w:ascii="楷体_GB2312" w:hAnsi="楷体_GB2312" w:eastAsia="楷体_GB2312" w:cs="楷体_GB2312"/>
          <w:sz w:val="32"/>
          <w:szCs w:val="32"/>
        </w:rPr>
        <w:t>（牵头处室：教务处，配合处室：各教研室）</w:t>
      </w:r>
    </w:p>
    <w:p w14:paraId="7B20F675">
      <w:pPr>
        <w:spacing w:line="600" w:lineRule="exact"/>
        <w:ind w:firstLine="640"/>
        <w:rPr>
          <w:rFonts w:hint="eastAsia" w:ascii="楷体_GB2312" w:hAnsi="楷体_GB2312" w:eastAsia="楷体_GB2312" w:cs="楷体_GB2312"/>
          <w:sz w:val="32"/>
          <w:szCs w:val="32"/>
        </w:rPr>
      </w:pPr>
      <w:r>
        <w:rPr>
          <w:rFonts w:hint="eastAsia" w:ascii="Times New Roman" w:hAnsi="Times New Roman" w:eastAsia="仿宋_GB2312" w:cs="Times New Roman"/>
          <w:sz w:val="32"/>
          <w:szCs w:val="32"/>
        </w:rPr>
        <w:t>2.</w:t>
      </w:r>
      <w:r>
        <w:rPr>
          <w:rFonts w:hint="eastAsia" w:ascii="仿宋_GB2312" w:hAnsi="仿宋_GB2312" w:eastAsia="仿宋_GB2312" w:cs="仿宋_GB2312"/>
          <w:sz w:val="32"/>
          <w:szCs w:val="40"/>
          <w:lang w:eastAsia="zh-CN"/>
        </w:rPr>
        <w:t>持续深化打造县级党校特色课，重点围绕基层干部和党员的党性教育和履职能力课程，指导各县区党校至少打造</w:t>
      </w:r>
      <w:r>
        <w:rPr>
          <w:rFonts w:hint="default" w:ascii="Times New Roman" w:hAnsi="Times New Roman" w:eastAsia="仿宋_GB2312" w:cs="Times New Roman"/>
          <w:sz w:val="32"/>
          <w:szCs w:val="40"/>
          <w:lang w:val="en-US" w:eastAsia="zh-CN"/>
        </w:rPr>
        <w:t>1</w:t>
      </w:r>
      <w:r>
        <w:rPr>
          <w:rFonts w:hint="eastAsia" w:ascii="仿宋_GB2312" w:hAnsi="仿宋_GB2312" w:eastAsia="仿宋_GB2312" w:cs="仿宋_GB2312"/>
          <w:sz w:val="32"/>
          <w:szCs w:val="40"/>
          <w:lang w:eastAsia="zh-CN"/>
        </w:rPr>
        <w:t>门特色课。以全省党校（行政学院）系统青年教师教学竞赛、全省县级党校（行政学校）优秀课为契机，通过集中备课、专家评课等形式，共同打造精品课程。</w:t>
      </w:r>
      <w:r>
        <w:rPr>
          <w:rFonts w:hint="eastAsia" w:ascii="楷体_GB2312" w:hAnsi="楷体_GB2312" w:eastAsia="楷体_GB2312" w:cs="楷体_GB2312"/>
          <w:sz w:val="32"/>
          <w:szCs w:val="32"/>
        </w:rPr>
        <w:t>（牵头处室：教务处，配合处室：各教研室）</w:t>
      </w:r>
    </w:p>
    <w:p w14:paraId="292FF550">
      <w:pPr>
        <w:ind w:firstLine="640" w:firstLineChars="200"/>
        <w:rPr>
          <w:rFonts w:hint="default" w:ascii="楷体_GB2312" w:hAnsi="楷体_GB2312" w:eastAsia="楷体_GB2312" w:cs="楷体_GB2312"/>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40"/>
          <w:lang w:eastAsia="zh-CN"/>
        </w:rPr>
        <w:t>注重全市党校系统师资队伍一体化建设，举办全市党校系统</w:t>
      </w:r>
      <w:r>
        <w:rPr>
          <w:rFonts w:hint="eastAsia" w:ascii="仿宋_GB2312" w:hAnsi="仿宋_GB2312" w:eastAsia="仿宋_GB2312" w:cs="仿宋_GB2312"/>
          <w:sz w:val="32"/>
          <w:szCs w:val="40"/>
          <w:lang w:val="en-US" w:eastAsia="zh-CN"/>
        </w:rPr>
        <w:t>教学观摩竞赛暨全市党校系统师资培训班，以赛代练、以训促学，推动市县党校教师共同提升。</w:t>
      </w:r>
      <w:r>
        <w:rPr>
          <w:rFonts w:hint="eastAsia" w:ascii="楷体_GB2312" w:hAnsi="楷体_GB2312" w:eastAsia="楷体_GB2312" w:cs="楷体_GB2312"/>
          <w:sz w:val="32"/>
          <w:szCs w:val="32"/>
          <w:lang w:eastAsia="zh-CN"/>
        </w:rPr>
        <w:t>（牵头处室：教务处，配合处室：各教研室）</w:t>
      </w:r>
    </w:p>
    <w:p w14:paraId="7F24D805">
      <w:pPr>
        <w:spacing w:line="600" w:lineRule="exact"/>
        <w:ind w:firstLine="640"/>
        <w:rPr>
          <w:rFonts w:ascii="楷体_GB2312" w:hAnsi="楷体_GB2312" w:eastAsia="楷体_GB2312" w:cs="楷体_GB2312"/>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rPr>
        <w:t>优化校级（全市党校系统）计划项目组织机制，面向县区党校征集选题，增加县区党校申报数量，要求至少组建</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个市县党校联合研究团队，为县区党校提升项目研究水平提供支持。</w:t>
      </w:r>
      <w:r>
        <w:rPr>
          <w:rFonts w:hint="eastAsia" w:ascii="楷体_GB2312" w:hAnsi="楷体_GB2312" w:eastAsia="楷体_GB2312" w:cs="楷体_GB2312"/>
          <w:sz w:val="32"/>
          <w:szCs w:val="32"/>
        </w:rPr>
        <w:t>（牵头处室：科研处，配合处室：各教研室）</w:t>
      </w:r>
    </w:p>
    <w:p w14:paraId="2AC6A95E">
      <w:pPr>
        <w:spacing w:line="600" w:lineRule="exact"/>
        <w:ind w:firstLine="640"/>
        <w:rPr>
          <w:rFonts w:ascii="楷体_GB2312" w:hAnsi="楷体_GB2312" w:eastAsia="楷体_GB2312" w:cs="楷体_GB2312"/>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rPr>
        <w:t>深入开展“市委党校+县区党校”决策咨询联合攻关，指导县区党校咨政选题，年内各县区党校遴选</w:t>
      </w:r>
      <w:r>
        <w:rPr>
          <w:rFonts w:hint="default" w:ascii="Times New Roman" w:hAnsi="Times New Roman" w:eastAsia="仿宋_GB2312" w:cs="Times New Roman"/>
          <w:sz w:val="32"/>
          <w:szCs w:val="32"/>
        </w:rPr>
        <w:t>1-2</w:t>
      </w:r>
      <w:r>
        <w:rPr>
          <w:rFonts w:hint="eastAsia" w:ascii="仿宋_GB2312" w:hAnsi="仿宋_GB2312" w:eastAsia="仿宋_GB2312" w:cs="仿宋_GB2312"/>
          <w:sz w:val="32"/>
          <w:szCs w:val="32"/>
        </w:rPr>
        <w:t>篇咨政报告，市委党校安排骨干教师指导打磨，择优呈报市领导参阅，助力提升县区党校咨政水平。</w:t>
      </w:r>
      <w:r>
        <w:rPr>
          <w:rFonts w:hint="eastAsia" w:ascii="楷体_GB2312" w:hAnsi="楷体_GB2312" w:eastAsia="楷体_GB2312" w:cs="楷体_GB2312"/>
          <w:sz w:val="32"/>
          <w:szCs w:val="32"/>
        </w:rPr>
        <w:t>（牵头处室：科研处，配合处室：各教研室）</w:t>
      </w:r>
    </w:p>
    <w:p w14:paraId="586FD2BD">
      <w:pPr>
        <w:spacing w:line="600" w:lineRule="exact"/>
        <w:ind w:firstLine="640"/>
        <w:rPr>
          <w:rFonts w:hint="eastAsia" w:ascii="楷体_GB2312" w:hAnsi="楷体_GB2312" w:eastAsia="楷体_GB2312" w:cs="楷体_GB2312"/>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rPr>
        <w:t>深化跟班实践锻炼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完善市县师资联动培养机制，选派县区骨干教师到市委党校主体班次脱产跟学</w:t>
      </w: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个月以上，全程参与教研管理，提升实践能力。</w:t>
      </w:r>
      <w:r>
        <w:rPr>
          <w:rFonts w:hint="eastAsia" w:ascii="楷体_GB2312" w:hAnsi="楷体_GB2312" w:eastAsia="楷体_GB2312" w:cs="楷体_GB2312"/>
          <w:sz w:val="32"/>
          <w:szCs w:val="32"/>
        </w:rPr>
        <w:t>（牵头处室：组织处，配合处室：学员工作处）</w:t>
      </w:r>
    </w:p>
    <w:p w14:paraId="07CE90B0">
      <w:pPr>
        <w:spacing w:line="600" w:lineRule="exact"/>
        <w:ind w:firstLine="640"/>
        <w:rPr>
          <w:rFonts w:hint="eastAsia" w:ascii="楷体_GB2312" w:hAnsi="楷体_GB2312" w:eastAsia="楷体_GB2312" w:cs="楷体_GB2312"/>
          <w:sz w:val="32"/>
          <w:szCs w:val="32"/>
        </w:rPr>
      </w:pP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优化职称评聘导向</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依据省级标准细化</w:t>
      </w:r>
      <w:r>
        <w:rPr>
          <w:rFonts w:hint="eastAsia" w:ascii="仿宋_GB2312" w:hAnsi="仿宋_GB2312" w:eastAsia="仿宋_GB2312" w:cs="仿宋_GB2312"/>
          <w:sz w:val="32"/>
          <w:szCs w:val="32"/>
          <w:lang w:val="en-US" w:eastAsia="zh-CN"/>
        </w:rPr>
        <w:t>县级</w:t>
      </w:r>
      <w:r>
        <w:rPr>
          <w:rFonts w:hint="eastAsia" w:ascii="仿宋_GB2312" w:hAnsi="仿宋_GB2312" w:eastAsia="仿宋_GB2312" w:cs="仿宋_GB2312"/>
          <w:sz w:val="32"/>
          <w:szCs w:val="32"/>
        </w:rPr>
        <w:t>党校初、中级职称评审条件，突出党校属性与教研实绩，确保公平公正，激发队伍活力。</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责任</w:t>
      </w:r>
      <w:r>
        <w:rPr>
          <w:rFonts w:hint="eastAsia" w:ascii="楷体_GB2312" w:hAnsi="楷体_GB2312" w:eastAsia="楷体_GB2312" w:cs="楷体_GB2312"/>
          <w:sz w:val="32"/>
          <w:szCs w:val="32"/>
        </w:rPr>
        <w:t>处室：组织处）</w:t>
      </w:r>
    </w:p>
    <w:p w14:paraId="3D38AB6F">
      <w:pPr>
        <w:spacing w:line="600" w:lineRule="exact"/>
        <w:ind w:firstLine="640"/>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强化“主课堂+分课堂”基础设施建设，确保基本培训全覆盖。按照上级党校线上课堂建设要求，结合我市网络应用实际，在用好中央党校“网上党校”平台的同时，做好县级党校的“全市综合视频会议系统”基础建设，提升“山东通视频会议系统”应用质量，不断提高全市党校系统“主课堂+分课堂”授课模式高质量专业化应用水平。</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责任</w:t>
      </w:r>
      <w:r>
        <w:rPr>
          <w:rFonts w:hint="eastAsia" w:ascii="楷体_GB2312" w:hAnsi="楷体_GB2312" w:eastAsia="楷体_GB2312" w:cs="楷体_GB2312"/>
          <w:sz w:val="32"/>
          <w:szCs w:val="32"/>
        </w:rPr>
        <w:t>处室：</w:t>
      </w:r>
      <w:r>
        <w:rPr>
          <w:rFonts w:hint="eastAsia" w:ascii="楷体_GB2312" w:hAnsi="楷体_GB2312" w:eastAsia="楷体_GB2312" w:cs="楷体_GB2312"/>
          <w:sz w:val="32"/>
          <w:szCs w:val="32"/>
          <w:lang w:val="en-US" w:eastAsia="zh-CN"/>
        </w:rPr>
        <w:t>电教中心</w:t>
      </w:r>
      <w:r>
        <w:rPr>
          <w:rFonts w:hint="eastAsia" w:ascii="楷体_GB2312" w:hAnsi="楷体_GB2312" w:eastAsia="楷体_GB2312" w:cs="楷体_GB2312"/>
          <w:sz w:val="32"/>
          <w:szCs w:val="32"/>
        </w:rPr>
        <w:t>）</w:t>
      </w:r>
    </w:p>
    <w:p w14:paraId="42097B9D">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三、有关要求</w:t>
      </w:r>
    </w:p>
    <w:p w14:paraId="040B9C41">
      <w:pPr>
        <w:spacing w:line="600" w:lineRule="exact"/>
        <w:ind w:firstLine="640" w:firstLineChars="200"/>
        <w:rPr>
          <w:rFonts w:hint="default" w:ascii="Times New Roman" w:hAnsi="Times New Roman" w:cs="Times New Roman"/>
          <w:bCs/>
          <w:color w:val="auto"/>
          <w:kern w:val="2"/>
          <w:sz w:val="32"/>
          <w:szCs w:val="32"/>
        </w:rPr>
      </w:pPr>
      <w:r>
        <w:rPr>
          <w:rFonts w:hint="default" w:ascii="Times New Roman" w:hAnsi="Times New Roman" w:eastAsia="仿宋_GB2312" w:cs="Times New Roman"/>
          <w:sz w:val="32"/>
          <w:szCs w:val="32"/>
        </w:rPr>
        <w:t>推动市县党校一体化高质量发展是新时代党校事业跨越发展的题中之意，</w:t>
      </w:r>
      <w:r>
        <w:rPr>
          <w:rFonts w:hint="eastAsia" w:ascii="Times New Roman" w:hAnsi="Times New Roman" w:eastAsia="仿宋_GB2312" w:cs="Times New Roman"/>
          <w:sz w:val="32"/>
          <w:szCs w:val="32"/>
          <w:lang w:val="en-US" w:eastAsia="zh-CN"/>
        </w:rPr>
        <w:t>是深入贯彻落实《条例》要求和党的</w:t>
      </w:r>
      <w:r>
        <w:rPr>
          <w:rFonts w:hint="default" w:ascii="Times New Roman" w:hAnsi="Times New Roman" w:eastAsia="仿宋_GB2312" w:cs="Times New Roman"/>
          <w:sz w:val="32"/>
          <w:szCs w:val="32"/>
        </w:rPr>
        <w:t>二十届三中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四中</w:t>
      </w:r>
      <w:r>
        <w:rPr>
          <w:rFonts w:hint="default" w:ascii="Times New Roman" w:hAnsi="Times New Roman" w:eastAsia="仿宋_GB2312" w:cs="Times New Roman"/>
          <w:sz w:val="32"/>
          <w:szCs w:val="32"/>
        </w:rPr>
        <w:t>全会精神的务实之举，各相关处室单位要深刻认识这项工作的重要性，以高度的政治责任感和使命感，认真研究清单任务，提出切实可行的措施办法，不务虚功、实干为本，切实为基层党校办实事办好事。工作推进中，牵头处室要</w:t>
      </w:r>
      <w:r>
        <w:rPr>
          <w:rFonts w:hint="default" w:ascii="Times New Roman" w:hAnsi="Times New Roman" w:eastAsia="仿宋_GB2312" w:cs="Times New Roman"/>
          <w:sz w:val="32"/>
          <w:szCs w:val="32"/>
          <w:lang w:val="en-US" w:eastAsia="zh-CN"/>
        </w:rPr>
        <w:t>强化担当</w:t>
      </w:r>
      <w:r>
        <w:rPr>
          <w:rFonts w:hint="default" w:ascii="Times New Roman" w:hAnsi="Times New Roman" w:eastAsia="仿宋_GB2312" w:cs="Times New Roman"/>
          <w:sz w:val="32"/>
          <w:szCs w:val="32"/>
        </w:rPr>
        <w:t>意识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主动对接基层党校，明确</w:t>
      </w:r>
      <w:r>
        <w:rPr>
          <w:rFonts w:hint="default" w:ascii="Times New Roman" w:hAnsi="Times New Roman" w:eastAsia="仿宋_GB2312" w:cs="Times New Roman"/>
          <w:sz w:val="32"/>
          <w:szCs w:val="32"/>
          <w:lang w:val="en-US" w:eastAsia="zh-CN"/>
        </w:rPr>
        <w:t>好</w:t>
      </w:r>
      <w:r>
        <w:rPr>
          <w:rFonts w:hint="default" w:ascii="Times New Roman" w:hAnsi="Times New Roman" w:eastAsia="仿宋_GB2312" w:cs="Times New Roman"/>
          <w:sz w:val="32"/>
          <w:szCs w:val="32"/>
        </w:rPr>
        <w:t>时间表、</w:t>
      </w:r>
      <w:r>
        <w:rPr>
          <w:rFonts w:hint="default" w:ascii="Times New Roman" w:hAnsi="Times New Roman" w:eastAsia="仿宋_GB2312" w:cs="Times New Roman"/>
          <w:sz w:val="32"/>
          <w:szCs w:val="32"/>
          <w:lang w:val="en-US" w:eastAsia="zh-CN"/>
        </w:rPr>
        <w:t>路线图</w:t>
      </w:r>
      <w:r>
        <w:rPr>
          <w:rFonts w:hint="default" w:ascii="Times New Roman" w:hAnsi="Times New Roman" w:eastAsia="仿宋_GB2312" w:cs="Times New Roman"/>
          <w:sz w:val="32"/>
          <w:szCs w:val="32"/>
        </w:rPr>
        <w:t>，统筹推动</w:t>
      </w:r>
      <w:r>
        <w:rPr>
          <w:rFonts w:hint="default" w:ascii="Times New Roman" w:hAnsi="Times New Roman" w:eastAsia="仿宋_GB2312" w:cs="Times New Roman"/>
          <w:sz w:val="32"/>
          <w:szCs w:val="32"/>
          <w:lang w:val="en-US" w:eastAsia="zh-CN"/>
        </w:rPr>
        <w:t>改革</w:t>
      </w:r>
      <w:r>
        <w:rPr>
          <w:rFonts w:hint="default" w:ascii="Times New Roman" w:hAnsi="Times New Roman" w:eastAsia="仿宋_GB2312" w:cs="Times New Roman"/>
          <w:sz w:val="32"/>
          <w:szCs w:val="32"/>
        </w:rPr>
        <w:t>任务</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rPr>
        <w:t>；各责任处室单位要立足自身职责，加强沟通协作，形成工作合力。重大事项要及时按程序提报校委会研究。党校工作处要发挥好桥梁纽带作用，总体负责清单任务</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rPr>
        <w:t>的跟踪调度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要将</w:t>
      </w:r>
      <w:r>
        <w:rPr>
          <w:rFonts w:hint="default" w:ascii="Times New Roman" w:hAnsi="Times New Roman" w:eastAsia="仿宋_GB2312" w:cs="Times New Roman"/>
          <w:sz w:val="32"/>
          <w:szCs w:val="32"/>
        </w:rPr>
        <w:t>相关任务</w:t>
      </w:r>
      <w:r>
        <w:rPr>
          <w:rFonts w:hint="default" w:ascii="Times New Roman" w:hAnsi="Times New Roman" w:eastAsia="仿宋_GB2312" w:cs="Times New Roman"/>
          <w:sz w:val="32"/>
          <w:szCs w:val="32"/>
          <w:lang w:val="en-US" w:eastAsia="zh-CN"/>
        </w:rPr>
        <w:t>纳</w:t>
      </w:r>
      <w:r>
        <w:rPr>
          <w:rFonts w:hint="default" w:ascii="Times New Roman" w:hAnsi="Times New Roman" w:eastAsia="仿宋_GB2312" w:cs="Times New Roman"/>
          <w:sz w:val="32"/>
          <w:szCs w:val="32"/>
        </w:rPr>
        <w:t>入重点督查事项定期调度</w:t>
      </w:r>
      <w:r>
        <w:rPr>
          <w:rFonts w:hint="default" w:ascii="Times New Roman" w:hAnsi="Times New Roman" w:eastAsia="仿宋_GB2312" w:cs="Times New Roman"/>
          <w:bCs/>
          <w:sz w:val="32"/>
          <w:szCs w:val="32"/>
        </w:rPr>
        <w:t>，工作情况及时报校主要</w:t>
      </w:r>
      <w:r>
        <w:rPr>
          <w:rFonts w:hint="default" w:ascii="Times New Roman" w:hAnsi="Times New Roman" w:eastAsia="仿宋_GB2312" w:cs="Times New Roman"/>
          <w:bCs/>
          <w:sz w:val="32"/>
          <w:szCs w:val="32"/>
          <w:lang w:val="en-US" w:eastAsia="zh-CN"/>
        </w:rPr>
        <w:t>领导</w:t>
      </w:r>
      <w:r>
        <w:rPr>
          <w:rFonts w:hint="default" w:ascii="Times New Roman" w:hAnsi="Times New Roman" w:eastAsia="仿宋_GB2312" w:cs="Times New Roman"/>
          <w:bCs/>
          <w:sz w:val="32"/>
          <w:szCs w:val="32"/>
        </w:rPr>
        <w:t>掌握，确保年底前高质高效完成第</w:t>
      </w:r>
      <w:r>
        <w:rPr>
          <w:rFonts w:hint="eastAsia" w:ascii="Times New Roman" w:hAnsi="Times New Roman" w:eastAsia="仿宋_GB2312" w:cs="Times New Roman"/>
          <w:bCs/>
          <w:sz w:val="32"/>
          <w:szCs w:val="32"/>
          <w:lang w:val="en-US" w:eastAsia="zh-CN"/>
        </w:rPr>
        <w:t>三</w:t>
      </w:r>
      <w:r>
        <w:rPr>
          <w:rFonts w:hint="default" w:ascii="Times New Roman" w:hAnsi="Times New Roman" w:eastAsia="仿宋_GB2312" w:cs="Times New Roman"/>
          <w:bCs/>
          <w:sz w:val="32"/>
          <w:szCs w:val="32"/>
        </w:rPr>
        <w:t>批清单任务。</w:t>
      </w:r>
    </w:p>
    <w:p w14:paraId="1842D5FA">
      <w:pPr>
        <w:pStyle w:val="40"/>
        <w:spacing w:line="600" w:lineRule="exact"/>
        <w:ind w:firstLine="640" w:firstLineChars="200"/>
        <w:jc w:val="both"/>
        <w:rPr>
          <w:rFonts w:hint="default" w:ascii="Times New Roman" w:hAnsi="Times New Roman" w:cs="Times New Roman"/>
          <w:bCs/>
          <w:color w:val="auto"/>
          <w:kern w:val="2"/>
          <w:sz w:val="32"/>
          <w:szCs w:val="32"/>
        </w:rPr>
      </w:pPr>
    </w:p>
    <w:p w14:paraId="57B50BF2">
      <w:pPr>
        <w:pStyle w:val="40"/>
        <w:spacing w:line="600" w:lineRule="exact"/>
        <w:ind w:firstLine="640" w:firstLineChars="200"/>
        <w:jc w:val="center"/>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rPr>
        <w:t xml:space="preserve">                 </w:t>
      </w:r>
      <w:r>
        <w:rPr>
          <w:rFonts w:hint="eastAsia" w:ascii="Times New Roman" w:hAnsi="Times New Roman" w:cs="Times New Roman"/>
          <w:color w:val="auto"/>
          <w:kern w:val="2"/>
          <w:sz w:val="32"/>
          <w:szCs w:val="32"/>
          <w:lang w:val="en-US" w:eastAsia="zh-CN"/>
        </w:rPr>
        <w:t xml:space="preserve">        </w:t>
      </w:r>
      <w:r>
        <w:rPr>
          <w:rFonts w:hint="default" w:ascii="Times New Roman" w:hAnsi="Times New Roman" w:cs="Times New Roman"/>
          <w:color w:val="auto"/>
          <w:kern w:val="2"/>
          <w:sz w:val="32"/>
          <w:szCs w:val="32"/>
        </w:rPr>
        <w:t xml:space="preserve"> 中共东营市委党校</w:t>
      </w:r>
    </w:p>
    <w:p w14:paraId="72754ACD">
      <w:pPr>
        <w:pStyle w:val="40"/>
        <w:spacing w:line="600" w:lineRule="exact"/>
        <w:ind w:firstLine="640" w:firstLineChars="200"/>
        <w:jc w:val="center"/>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rPr>
        <w:t xml:space="preserve">                           </w:t>
      </w:r>
      <w:r>
        <w:rPr>
          <w:rFonts w:hint="eastAsia" w:ascii="Times New Roman" w:hAnsi="Times New Roman" w:cs="Times New Roman"/>
          <w:color w:val="auto"/>
          <w:kern w:val="2"/>
          <w:sz w:val="32"/>
          <w:szCs w:val="32"/>
          <w:lang w:val="en-US" w:eastAsia="zh-CN"/>
        </w:rPr>
        <w:t xml:space="preserve">    </w:t>
      </w:r>
      <w:r>
        <w:rPr>
          <w:rFonts w:hint="default" w:ascii="Times New Roman" w:hAnsi="Times New Roman" w:cs="Times New Roman"/>
          <w:color w:val="auto"/>
          <w:kern w:val="2"/>
          <w:sz w:val="32"/>
          <w:szCs w:val="32"/>
        </w:rPr>
        <w:t xml:space="preserve"> 202</w:t>
      </w:r>
      <w:r>
        <w:rPr>
          <w:rFonts w:hint="eastAsia" w:ascii="Times New Roman" w:hAnsi="Times New Roman" w:cs="Times New Roman"/>
          <w:color w:val="auto"/>
          <w:kern w:val="2"/>
          <w:sz w:val="32"/>
          <w:szCs w:val="32"/>
          <w:lang w:val="en-US" w:eastAsia="zh-CN"/>
        </w:rPr>
        <w:t>6</w:t>
      </w:r>
      <w:r>
        <w:rPr>
          <w:rFonts w:hint="default" w:ascii="Times New Roman" w:hAnsi="Times New Roman" w:cs="Times New Roman"/>
          <w:color w:val="auto"/>
          <w:kern w:val="2"/>
          <w:sz w:val="32"/>
          <w:szCs w:val="32"/>
        </w:rPr>
        <w:t>年</w:t>
      </w:r>
      <w:r>
        <w:rPr>
          <w:rFonts w:hint="eastAsia" w:ascii="Times New Roman" w:hAnsi="Times New Roman" w:cs="Times New Roman"/>
          <w:color w:val="auto"/>
          <w:kern w:val="2"/>
          <w:sz w:val="32"/>
          <w:szCs w:val="32"/>
          <w:lang w:val="en-US" w:eastAsia="zh-CN"/>
        </w:rPr>
        <w:t>4</w:t>
      </w:r>
      <w:r>
        <w:rPr>
          <w:rFonts w:hint="default" w:ascii="Times New Roman" w:hAnsi="Times New Roman" w:cs="Times New Roman"/>
          <w:color w:val="auto"/>
          <w:kern w:val="2"/>
          <w:sz w:val="32"/>
          <w:szCs w:val="32"/>
        </w:rPr>
        <w:t>月</w:t>
      </w:r>
      <w:r>
        <w:rPr>
          <w:rFonts w:hint="eastAsia" w:ascii="Times New Roman" w:hAnsi="Times New Roman" w:cs="Times New Roman"/>
          <w:color w:val="auto"/>
          <w:kern w:val="2"/>
          <w:sz w:val="32"/>
          <w:szCs w:val="32"/>
          <w:lang w:val="en-US" w:eastAsia="zh-CN"/>
        </w:rPr>
        <w:t>17</w:t>
      </w:r>
      <w:r>
        <w:rPr>
          <w:rFonts w:hint="default" w:ascii="Times New Roman" w:hAnsi="Times New Roman" w:cs="Times New Roman"/>
          <w:color w:val="auto"/>
          <w:kern w:val="2"/>
          <w:sz w:val="32"/>
          <w:szCs w:val="32"/>
        </w:rPr>
        <w:t>日</w:t>
      </w:r>
    </w:p>
    <w:p w14:paraId="75D3B4B9">
      <w:pPr>
        <w:pStyle w:val="40"/>
        <w:spacing w:line="600" w:lineRule="exact"/>
        <w:ind w:firstLine="640" w:firstLineChars="200"/>
        <w:rPr>
          <w:rFonts w:hint="default" w:ascii="Times New Roman" w:hAnsi="Times New Roman" w:cs="Times New Roman"/>
          <w:bCs/>
          <w:color w:val="auto"/>
          <w:kern w:val="2"/>
          <w:sz w:val="32"/>
          <w:szCs w:val="32"/>
        </w:rPr>
      </w:pPr>
    </w:p>
    <w:p w14:paraId="580BB263">
      <w:pPr>
        <w:pStyle w:val="40"/>
        <w:spacing w:line="600" w:lineRule="exact"/>
        <w:ind w:firstLine="640" w:firstLineChars="200"/>
        <w:rPr>
          <w:rFonts w:hint="default" w:ascii="Times New Roman" w:hAnsi="Times New Roman" w:cs="Times New Roman"/>
          <w:bCs/>
          <w:color w:val="auto"/>
          <w:kern w:val="2"/>
          <w:sz w:val="32"/>
          <w:szCs w:val="32"/>
        </w:rPr>
      </w:pPr>
    </w:p>
    <w:p w14:paraId="4482379D">
      <w:pPr>
        <w:pStyle w:val="40"/>
        <w:spacing w:line="600" w:lineRule="exact"/>
        <w:ind w:firstLine="640" w:firstLineChars="200"/>
        <w:rPr>
          <w:rFonts w:hint="default" w:ascii="Times New Roman" w:hAnsi="Times New Roman" w:cs="Times New Roman"/>
          <w:bCs/>
          <w:color w:val="auto"/>
          <w:kern w:val="2"/>
          <w:sz w:val="32"/>
          <w:szCs w:val="32"/>
        </w:rPr>
      </w:pPr>
    </w:p>
    <w:p w14:paraId="36C24F5E">
      <w:pPr>
        <w:pStyle w:val="40"/>
        <w:spacing w:line="600" w:lineRule="exact"/>
        <w:ind w:firstLine="640" w:firstLineChars="200"/>
        <w:rPr>
          <w:rFonts w:hint="default" w:ascii="Times New Roman" w:hAnsi="Times New Roman" w:cs="Times New Roman"/>
          <w:bCs/>
          <w:color w:val="auto"/>
          <w:kern w:val="2"/>
          <w:sz w:val="32"/>
          <w:szCs w:val="32"/>
        </w:rPr>
      </w:pPr>
    </w:p>
    <w:p w14:paraId="7D1053DD">
      <w:pPr>
        <w:spacing w:line="600" w:lineRule="exact"/>
        <w:rPr>
          <w:rFonts w:ascii="Times New Roman" w:hAnsi="Times New Roman" w:eastAsia="仿宋_GB2312" w:cs="Times New Roman"/>
          <w:sz w:val="32"/>
          <w:szCs w:val="32"/>
        </w:rPr>
      </w:pPr>
    </w:p>
    <w:sectPr>
      <w:footerReference r:id="rId5" w:type="default"/>
      <w:pgSz w:w="11906" w:h="16838"/>
      <w:pgMar w:top="2154" w:right="1417"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PingFangSC-light">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527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C8FAB">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45C8FAB">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77"/>
    <w:rsid w:val="00152C6A"/>
    <w:rsid w:val="0029457F"/>
    <w:rsid w:val="0037292A"/>
    <w:rsid w:val="003854BB"/>
    <w:rsid w:val="007A4736"/>
    <w:rsid w:val="008573FD"/>
    <w:rsid w:val="008D61B6"/>
    <w:rsid w:val="00904F77"/>
    <w:rsid w:val="00965BDC"/>
    <w:rsid w:val="00AC28D6"/>
    <w:rsid w:val="00AF5A9C"/>
    <w:rsid w:val="00BA6D1C"/>
    <w:rsid w:val="00BF52BD"/>
    <w:rsid w:val="00C011C2"/>
    <w:rsid w:val="00C0218C"/>
    <w:rsid w:val="00DC1C4D"/>
    <w:rsid w:val="00DE5977"/>
    <w:rsid w:val="00E4669E"/>
    <w:rsid w:val="00E841D6"/>
    <w:rsid w:val="00FB5FFB"/>
    <w:rsid w:val="01194F6B"/>
    <w:rsid w:val="017B11E4"/>
    <w:rsid w:val="03F4527E"/>
    <w:rsid w:val="058914B1"/>
    <w:rsid w:val="06D3561E"/>
    <w:rsid w:val="077E1A2E"/>
    <w:rsid w:val="07DB0C2F"/>
    <w:rsid w:val="0B420FC5"/>
    <w:rsid w:val="0BE152CC"/>
    <w:rsid w:val="0E062939"/>
    <w:rsid w:val="0E2A1FC8"/>
    <w:rsid w:val="0F615B83"/>
    <w:rsid w:val="10560F5C"/>
    <w:rsid w:val="123A47A4"/>
    <w:rsid w:val="12C50511"/>
    <w:rsid w:val="137947E3"/>
    <w:rsid w:val="16300F26"/>
    <w:rsid w:val="16D25D7A"/>
    <w:rsid w:val="1B5E7C00"/>
    <w:rsid w:val="1BE66B30"/>
    <w:rsid w:val="200A3A07"/>
    <w:rsid w:val="21E5472C"/>
    <w:rsid w:val="226248B9"/>
    <w:rsid w:val="2C730B86"/>
    <w:rsid w:val="2CD80972"/>
    <w:rsid w:val="2DBC5D77"/>
    <w:rsid w:val="2F9E5F1A"/>
    <w:rsid w:val="3011493E"/>
    <w:rsid w:val="30B05C8E"/>
    <w:rsid w:val="314C6E36"/>
    <w:rsid w:val="326E7F17"/>
    <w:rsid w:val="34831B82"/>
    <w:rsid w:val="36575075"/>
    <w:rsid w:val="42524866"/>
    <w:rsid w:val="440F6F8F"/>
    <w:rsid w:val="44351A5E"/>
    <w:rsid w:val="462C7E9D"/>
    <w:rsid w:val="463C19EE"/>
    <w:rsid w:val="47947ED7"/>
    <w:rsid w:val="48B541CA"/>
    <w:rsid w:val="4AA06B93"/>
    <w:rsid w:val="4BD9235C"/>
    <w:rsid w:val="519711E8"/>
    <w:rsid w:val="541B72D5"/>
    <w:rsid w:val="589C6BEB"/>
    <w:rsid w:val="5CBA3AE4"/>
    <w:rsid w:val="5E571720"/>
    <w:rsid w:val="602A0F80"/>
    <w:rsid w:val="6190756E"/>
    <w:rsid w:val="61C50370"/>
    <w:rsid w:val="639C5C09"/>
    <w:rsid w:val="649D4417"/>
    <w:rsid w:val="67642FCA"/>
    <w:rsid w:val="680E1188"/>
    <w:rsid w:val="6A242128"/>
    <w:rsid w:val="6ACE4BFE"/>
    <w:rsid w:val="6B7403D7"/>
    <w:rsid w:val="75526B58"/>
    <w:rsid w:val="758B51B3"/>
    <w:rsid w:val="7592164A"/>
    <w:rsid w:val="772F3E27"/>
    <w:rsid w:val="79AC464A"/>
    <w:rsid w:val="7C9B7036"/>
    <w:rsid w:val="7D630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Indent 2"/>
    <w:basedOn w:val="1"/>
    <w:qFormat/>
    <w:uiPriority w:val="99"/>
    <w:pPr>
      <w:ind w:firstLine="629"/>
    </w:pPr>
    <w:rPr>
      <w:rFonts w:ascii="黑体" w:hAnsi="黑体" w:eastAsia="仿宋_GB2312" w:cs="Times New Roman"/>
      <w:szCs w:val="22"/>
    </w:r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qFormat/>
    <w:uiPriority w:val="20"/>
    <w:rPr>
      <w:i/>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paragraph" w:customStyle="1" w:styleId="40">
    <w:name w:val="Default"/>
    <w:basedOn w:val="1"/>
    <w:semiHidden/>
    <w:qFormat/>
    <w:uiPriority w:val="0"/>
    <w:pPr>
      <w:autoSpaceDE w:val="0"/>
      <w:autoSpaceDN w:val="0"/>
      <w:adjustRightInd w:val="0"/>
      <w:jc w:val="left"/>
    </w:pPr>
    <w:rPr>
      <w:rFonts w:ascii="仿宋_GB2312" w:hAnsi="宋体" w:eastAsia="仿宋_GB2312"/>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2f5b762c-120e-4254-bc40-326595ef6af6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2AC6A95E</paraID>
      <start>47</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36336d-7557-4c04-b742-91607b7a661d}">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4</Pages>
  <Words>1517</Words>
  <Characters>1531</Characters>
  <Lines>3</Lines>
  <Paragraphs>1</Paragraphs>
  <TotalTime>6</TotalTime>
  <ScaleCrop>false</ScaleCrop>
  <LinksUpToDate>false</LinksUpToDate>
  <CharactersWithSpaces>1589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2025-06-24T07:31:00Z</dcterms:created>
  <dc:creator>舒宁 杨</dc:creator>
  <cp:lastModifiedBy>小杨树</cp:lastModifiedBy>
  <cp:lastPrinted>2026-04-17T02:04:00Z</cp:lastPrinted>
  <dcterms:modified xsi:type="dcterms:W3CDTF">2026-04-17T07:16:57Z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eyJoZGlkIjoiY2M0MzEwMzUzOWQyMmNhYjJjNmU0YjY2Y2VkNDkyZWIiLCJ1c2VySWQiOiIzNDYxMzg0MTYifQ==</vt:lpwstr>
  </property>
  <property fmtid="{D5CDD505-2E9C-101B-9397-08002B2CF9AE}" pid="3" name="KSOProductBuildVer">
    <vt:lpwstr>2052-12.1.0.25225</vt:lpwstr>
  </property>
  <property fmtid="{D5CDD505-2E9C-101B-9397-08002B2CF9AE}" pid="4" name="ICV">
    <vt:lpwstr>542E2C5FB6024FE89A5D85F597181AE6_13</vt:lpwstr>
  </property>
</Properties>
</file>